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0"/>
        <w:jc w:val="center"/>
        <w:rPr>
          <w:rFonts w:hint="eastAsia" w:ascii="宋体" w:hAnsi="宋体" w:eastAsia="宋体" w:cs="宋体"/>
          <w:b/>
          <w:bCs/>
          <w:i w:val="0"/>
          <w:caps w:val="0"/>
          <w:color w:val="333333"/>
          <w:spacing w:val="0"/>
          <w:sz w:val="44"/>
          <w:szCs w:val="44"/>
          <w:shd w:val="clear" w:fill="FFFFFF"/>
        </w:rPr>
      </w:pPr>
      <w:r>
        <w:rPr>
          <w:rFonts w:hint="eastAsia" w:ascii="宋体" w:hAnsi="宋体" w:eastAsia="宋体" w:cs="宋体"/>
          <w:b/>
          <w:bCs/>
          <w:i w:val="0"/>
          <w:caps w:val="0"/>
          <w:color w:val="333333"/>
          <w:spacing w:val="0"/>
          <w:sz w:val="44"/>
          <w:szCs w:val="44"/>
          <w:shd w:val="clear" w:fill="FFFFFF"/>
        </w:rPr>
        <w:t>国家知识产权局行政复议接收复议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0"/>
        <w:jc w:val="center"/>
        <w:rPr>
          <w:rFonts w:hint="eastAsia" w:ascii="宋体" w:hAnsi="宋体" w:eastAsia="宋体" w:cs="宋体"/>
          <w:b/>
          <w:bCs/>
          <w:i w:val="0"/>
          <w:caps w:val="0"/>
          <w:color w:val="333333"/>
          <w:spacing w:val="0"/>
          <w:sz w:val="44"/>
          <w:szCs w:val="44"/>
          <w:shd w:val="clear" w:fill="FFFFFF"/>
        </w:rPr>
      </w:pPr>
      <w:r>
        <w:rPr>
          <w:rFonts w:hint="eastAsia" w:ascii="宋体" w:hAnsi="宋体" w:eastAsia="宋体" w:cs="宋体"/>
          <w:b/>
          <w:bCs/>
          <w:i w:val="0"/>
          <w:caps w:val="0"/>
          <w:color w:val="333333"/>
          <w:spacing w:val="0"/>
          <w:sz w:val="44"/>
          <w:szCs w:val="44"/>
          <w:shd w:val="clear" w:fill="FFFFFF"/>
        </w:rPr>
        <w:t>申请回执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0"/>
        <w:jc w:val="center"/>
        <w:rPr>
          <w:rFonts w:hint="eastAsia" w:ascii="宋体" w:hAnsi="宋体" w:eastAsia="宋体" w:cs="宋体"/>
          <w:b/>
          <w:bCs/>
          <w:i w:val="0"/>
          <w:caps w:val="0"/>
          <w:color w:val="333333"/>
          <w:spacing w:val="0"/>
          <w:sz w:val="24"/>
          <w:szCs w:val="24"/>
        </w:rPr>
      </w:pPr>
      <w:r>
        <w:rPr>
          <w:rFonts w:hint="eastAsia" w:ascii="宋体" w:hAnsi="宋体" w:eastAsia="宋体" w:cs="宋体"/>
          <w:b/>
          <w:bCs/>
          <w:i w:val="0"/>
          <w:caps w:val="0"/>
          <w:color w:val="333333"/>
          <w:spacing w:val="0"/>
          <w:sz w:val="24"/>
          <w:szCs w:val="24"/>
          <w:shd w:val="clear" w:fill="FFFFFF"/>
        </w:rPr>
        <w:t>　　（一式两份）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drawing>
          <wp:inline distT="0" distB="0" distL="114300" distR="114300">
            <wp:extent cx="5467985" cy="6667500"/>
            <wp:effectExtent l="0" t="0" r="1841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5467985" cy="6667500"/>
                    </a:xfrm>
                    <a:prstGeom prst="rect">
                      <a:avLst/>
                    </a:prstGeom>
                    <a:noFill/>
                    <a:ln w="9525">
                      <a:noFill/>
                    </a:ln>
                  </pic:spPr>
                </pic:pic>
              </a:graphicData>
            </a:graphic>
          </wp:inline>
        </w:drawing>
      </w:r>
      <w:r>
        <w:rPr>
          <w:rFonts w:hint="eastAsia" w:ascii="宋体" w:hAnsi="宋体" w:eastAsia="宋体" w:cs="宋体"/>
          <w:i w:val="0"/>
          <w:caps w:val="0"/>
          <w:color w:val="333333"/>
          <w:spacing w:val="0"/>
          <w:sz w:val="24"/>
          <w:szCs w:val="2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0"/>
        <w:jc w:val="left"/>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 xml:space="preserve"> 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1.该回执仅限直接递交复议材料的当事人或代理人提交；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 2.接受文书名称按个案情况填写行政复议申请材料、行政复议申请材料（待补正）、公证认证材料等；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 xml:space="preserve"> 3.提交回执应当在申请人或代理人签章处签字或盖章，并填写直接递交材料当日日期；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0"/>
        <w:jc w:val="left"/>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4.本回执准备一式两份，由接收人签章，直接递交人和复议机构各留存一份。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0"/>
        <w:jc w:val="left"/>
        <w:rPr>
          <w:rFonts w:hint="eastAsia" w:ascii="宋体" w:hAnsi="宋体" w:eastAsia="宋体" w:cs="宋体"/>
          <w:i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0"/>
        <w:jc w:val="left"/>
        <w:rPr>
          <w:rFonts w:hint="eastAsia" w:ascii="宋体" w:hAnsi="宋体" w:eastAsia="宋体" w:cs="宋体"/>
          <w:i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0"/>
        <w:jc w:val="left"/>
        <w:rPr>
          <w:rFonts w:hint="eastAsia" w:ascii="宋体" w:hAnsi="宋体" w:eastAsia="宋体" w:cs="宋体"/>
          <w:i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0"/>
        <w:jc w:val="left"/>
        <w:rPr>
          <w:rFonts w:hint="eastAsia" w:ascii="宋体" w:hAnsi="宋体" w:eastAsia="宋体" w:cs="宋体"/>
          <w:i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0"/>
        <w:jc w:val="left"/>
        <w:rPr>
          <w:rFonts w:hint="eastAsia" w:ascii="宋体" w:hAnsi="宋体" w:eastAsia="宋体" w:cs="宋体"/>
          <w:i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0"/>
        <w:jc w:val="left"/>
        <w:rPr>
          <w:rFonts w:hint="eastAsia" w:ascii="宋体" w:hAnsi="宋体" w:eastAsia="宋体" w:cs="宋体"/>
          <w:i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0"/>
        <w:jc w:val="left"/>
        <w:rPr>
          <w:rFonts w:hint="eastAsia" w:ascii="宋体" w:hAnsi="宋体" w:eastAsia="宋体" w:cs="宋体"/>
          <w:i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0"/>
        <w:jc w:val="left"/>
        <w:rPr>
          <w:rFonts w:hint="eastAsia" w:ascii="宋体" w:hAnsi="宋体" w:eastAsia="宋体" w:cs="宋体"/>
          <w:i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0"/>
        <w:jc w:val="left"/>
        <w:rPr>
          <w:rFonts w:hint="eastAsia" w:ascii="宋体" w:hAnsi="宋体" w:eastAsia="宋体" w:cs="宋体"/>
          <w:i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0"/>
        <w:jc w:val="left"/>
        <w:rPr>
          <w:rFonts w:hint="eastAsia" w:ascii="宋体" w:hAnsi="宋体" w:eastAsia="宋体" w:cs="宋体"/>
          <w:i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0"/>
        <w:jc w:val="left"/>
        <w:rPr>
          <w:rFonts w:hint="eastAsia" w:ascii="宋体" w:hAnsi="宋体" w:eastAsia="宋体" w:cs="宋体"/>
          <w:i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0"/>
        <w:jc w:val="left"/>
        <w:rPr>
          <w:rFonts w:hint="eastAsia" w:ascii="宋体" w:hAnsi="宋体" w:eastAsia="宋体" w:cs="宋体"/>
          <w:i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0"/>
        <w:jc w:val="left"/>
        <w:rPr>
          <w:rFonts w:hint="eastAsia" w:ascii="宋体" w:hAnsi="宋体" w:eastAsia="宋体" w:cs="宋体"/>
          <w:i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0"/>
        <w:jc w:val="left"/>
        <w:rPr>
          <w:rFonts w:hint="eastAsia" w:ascii="宋体" w:hAnsi="宋体" w:eastAsia="宋体" w:cs="宋体"/>
          <w:i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0"/>
        <w:jc w:val="left"/>
        <w:rPr>
          <w:rFonts w:hint="eastAsia" w:ascii="宋体" w:hAnsi="宋体" w:eastAsia="宋体" w:cs="宋体"/>
          <w:i w:val="0"/>
          <w:caps w:val="0"/>
          <w:color w:val="333333"/>
          <w:spacing w:val="0"/>
          <w:sz w:val="28"/>
          <w:szCs w:val="28"/>
          <w:shd w:val="clear" w:fill="FFFFFF"/>
        </w:rPr>
      </w:pPr>
    </w:p>
    <w:p>
      <w:pPr>
        <w:shd w:val="clear"/>
        <w:rPr>
          <w:rFonts w:hint="eastAsia"/>
          <w:b/>
          <w:bCs/>
          <w:sz w:val="36"/>
          <w:szCs w:val="36"/>
          <w:lang w:val="en-US" w:eastAsia="zh-CN"/>
        </w:rPr>
      </w:pPr>
      <w:r>
        <w:rPr>
          <w:rFonts w:hint="eastAsia"/>
          <w:b/>
          <w:bCs/>
          <w:sz w:val="36"/>
          <w:szCs w:val="36"/>
          <w:lang w:val="en-US" w:eastAsia="zh-CN"/>
        </w:rPr>
        <w:t>附：</w:t>
      </w:r>
    </w:p>
    <w:p>
      <w:pPr>
        <w:shd w:val="clear"/>
        <w:ind w:firstLine="723" w:firstLineChars="200"/>
        <w:jc w:val="center"/>
        <w:rPr>
          <w:rFonts w:hint="eastAsia"/>
          <w:b/>
          <w:bCs/>
          <w:sz w:val="36"/>
          <w:szCs w:val="36"/>
        </w:rPr>
      </w:pPr>
      <w:r>
        <w:rPr>
          <w:rFonts w:hint="eastAsia"/>
          <w:b/>
          <w:bCs/>
          <w:sz w:val="36"/>
          <w:szCs w:val="36"/>
        </w:rPr>
        <w:t>商标注册程序性争议行政复议申请所需材料</w:t>
      </w:r>
    </w:p>
    <w:p>
      <w:pPr>
        <w:shd w:val="clear"/>
        <w:rPr>
          <w:rFonts w:hint="eastAsia"/>
          <w:sz w:val="28"/>
          <w:szCs w:val="28"/>
        </w:rPr>
      </w:pPr>
    </w:p>
    <w:p>
      <w:pPr>
        <w:shd w:val="clear"/>
        <w:ind w:firstLine="560" w:firstLineChars="200"/>
        <w:rPr>
          <w:rFonts w:hint="eastAsia"/>
          <w:sz w:val="28"/>
          <w:szCs w:val="28"/>
        </w:rPr>
      </w:pPr>
      <w:r>
        <w:rPr>
          <w:rFonts w:hint="eastAsia"/>
          <w:sz w:val="28"/>
          <w:szCs w:val="28"/>
        </w:rPr>
        <w:t>商标争议行政复议是指公</w:t>
      </w:r>
      <w:bookmarkStart w:id="0" w:name="_GoBack"/>
      <w:bookmarkEnd w:id="0"/>
      <w:r>
        <w:rPr>
          <w:rFonts w:hint="eastAsia"/>
          <w:sz w:val="28"/>
          <w:szCs w:val="28"/>
        </w:rPr>
        <w:t>民、法人和其他组织认为，国家知识产权局在商标注册、变更、转让、续展、补正、注销、撤销、异议等工作中做出的具体行政行为侵犯其合法权益，向国家知识产权局提起的行政复议。商标法和商标法实施条例中规定的评审案件不属于行政复议的受案范围。申请人申请行政复议，应提交以下材料：</w:t>
      </w:r>
    </w:p>
    <w:p>
      <w:pPr>
        <w:shd w:val="clear"/>
        <w:ind w:firstLine="560" w:firstLineChars="200"/>
        <w:rPr>
          <w:rFonts w:hint="eastAsia"/>
          <w:sz w:val="28"/>
          <w:szCs w:val="28"/>
        </w:rPr>
      </w:pPr>
      <w:r>
        <w:rPr>
          <w:rFonts w:hint="eastAsia"/>
          <w:sz w:val="28"/>
          <w:szCs w:val="28"/>
        </w:rPr>
        <w:t>（一）以书面方式提交行政复议申请书的，申请书上应写明复议申请人及其地址和联系电话、被申请人、复议请求和理由。行政复议申请书应当经申请人签名或者盖章。但是申请人已经在授权委托书上签名或盖章，授权代理人提交行政复议材料的，申请人可以不签名或盖章，由代理人签名或盖章。</w:t>
      </w:r>
    </w:p>
    <w:p>
      <w:pPr>
        <w:shd w:val="clear"/>
        <w:ind w:firstLine="560" w:firstLineChars="200"/>
        <w:rPr>
          <w:rFonts w:hint="eastAsia"/>
          <w:sz w:val="28"/>
          <w:szCs w:val="28"/>
        </w:rPr>
      </w:pPr>
      <w:r>
        <w:rPr>
          <w:rFonts w:hint="eastAsia"/>
          <w:sz w:val="28"/>
          <w:szCs w:val="28"/>
        </w:rPr>
        <w:t>（二）委托代理人参加行政复议的，应当提交授权委托书。授权委托书应当载明委托人、受托人、委托事项、委托权限、委托期限，由委托人签名或者盖章，并在行政复议申请书中注明委托代理人及其地址和联系电话。</w:t>
      </w:r>
    </w:p>
    <w:p>
      <w:pPr>
        <w:shd w:val="clear"/>
        <w:ind w:firstLine="560" w:firstLineChars="200"/>
        <w:rPr>
          <w:rFonts w:hint="eastAsia"/>
          <w:sz w:val="28"/>
          <w:szCs w:val="28"/>
        </w:rPr>
      </w:pPr>
      <w:r>
        <w:rPr>
          <w:rFonts w:hint="eastAsia"/>
          <w:sz w:val="28"/>
          <w:szCs w:val="28"/>
        </w:rPr>
        <w:t>（三）申请人身份证明文件。申请人为公民的，应当提交身份证复印件或者其他有效证件复印件；申请人为法人或者其他组织的，应当提交营业执照复印件或者其他有效证件复印件。</w:t>
      </w:r>
    </w:p>
    <w:p>
      <w:pPr>
        <w:shd w:val="clear"/>
        <w:ind w:firstLine="560" w:firstLineChars="200"/>
        <w:rPr>
          <w:rFonts w:hint="eastAsia"/>
          <w:sz w:val="28"/>
          <w:szCs w:val="28"/>
        </w:rPr>
      </w:pPr>
      <w:r>
        <w:rPr>
          <w:rFonts w:hint="eastAsia"/>
          <w:sz w:val="28"/>
          <w:szCs w:val="28"/>
        </w:rPr>
        <w:t>（四）国家知识产权局作出具体行政行为的法律文书原件或复印件。</w:t>
      </w:r>
    </w:p>
    <w:p>
      <w:pPr>
        <w:shd w:val="clear"/>
        <w:ind w:firstLine="560" w:firstLineChars="200"/>
        <w:rPr>
          <w:rFonts w:hint="eastAsia"/>
          <w:sz w:val="28"/>
          <w:szCs w:val="28"/>
        </w:rPr>
      </w:pPr>
      <w:r>
        <w:rPr>
          <w:rFonts w:hint="eastAsia"/>
          <w:sz w:val="28"/>
          <w:szCs w:val="28"/>
        </w:rPr>
        <w:t>（五）申请人认为国家知识产权局作出的具体行政行为不合法或不合理的证据材料。</w:t>
      </w:r>
    </w:p>
    <w:p>
      <w:pPr>
        <w:shd w:val="clear"/>
        <w:ind w:firstLine="560" w:firstLineChars="200"/>
        <w:rPr>
          <w:rFonts w:hint="eastAsia"/>
          <w:sz w:val="28"/>
          <w:szCs w:val="28"/>
        </w:rPr>
      </w:pPr>
      <w:r>
        <w:rPr>
          <w:rFonts w:hint="eastAsia"/>
          <w:sz w:val="28"/>
          <w:szCs w:val="28"/>
        </w:rPr>
        <w:t>（六）法律、行政法规和国家知识产权局要求提供的或者申请人自己认为有必要提交的其他材料。</w:t>
      </w:r>
    </w:p>
    <w:p>
      <w:pPr>
        <w:shd w:val="clear"/>
        <w:ind w:firstLine="560" w:firstLineChars="200"/>
        <w:rPr>
          <w:rFonts w:hint="eastAsia"/>
          <w:sz w:val="28"/>
          <w:szCs w:val="28"/>
        </w:rPr>
      </w:pPr>
      <w:r>
        <w:rPr>
          <w:rFonts w:hint="eastAsia"/>
          <w:sz w:val="28"/>
          <w:szCs w:val="28"/>
        </w:rPr>
        <w:t>以上材料均一式两份。</w:t>
      </w:r>
    </w:p>
    <w:p>
      <w:pPr>
        <w:shd w:val="clear"/>
        <w:ind w:firstLine="560" w:firstLineChars="200"/>
        <w:rPr>
          <w:rFonts w:hint="eastAsia"/>
          <w:sz w:val="28"/>
          <w:szCs w:val="28"/>
        </w:rPr>
      </w:pPr>
      <w:r>
        <w:rPr>
          <w:rFonts w:hint="eastAsia"/>
          <w:sz w:val="28"/>
          <w:szCs w:val="28"/>
        </w:rPr>
        <w:t>申请人提交行政复议申请材料的日期，直接递交的，以向商标行政复议机构递交日为准；邮寄的，以寄出的邮戳日为准；邮戳日不清晰或者没有邮戳的，以商标行政复议机构实际收到日为准，但是当事人能够提出实际邮戳日证据的除外。通过邮政企业以外的快递企业递交的，以快递企业收寄日为准；收寄日不明确的，以商标行政复议机构实际收到日为准，但是当事人能够提出实际收寄日证据的除外。</w:t>
      </w:r>
    </w:p>
    <w:p>
      <w:pPr>
        <w:shd w:val="clear"/>
        <w:ind w:firstLine="560" w:firstLineChars="200"/>
        <w:rPr>
          <w:rFonts w:hint="eastAsia"/>
          <w:sz w:val="28"/>
          <w:szCs w:val="28"/>
        </w:rPr>
      </w:pPr>
      <w:r>
        <w:rPr>
          <w:rFonts w:hint="eastAsia"/>
          <w:sz w:val="28"/>
          <w:szCs w:val="28"/>
        </w:rPr>
        <w:t>申请人参加商标争议行政复议应当使用中文。申请人向商标行政复议机构提交的材料是外文的，应当附送中文译文；未附送的，视为未提交该部分材料。</w:t>
      </w:r>
    </w:p>
    <w:p>
      <w:pPr>
        <w:shd w:val="clear"/>
        <w:rPr>
          <w:rFonts w:hint="eastAsia"/>
          <w:sz w:val="28"/>
          <w:szCs w:val="28"/>
        </w:rPr>
      </w:pPr>
    </w:p>
    <w:sectPr>
      <w:headerReference r:id="rId3" w:type="default"/>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0"/>
      <w:jc w:val="right"/>
      <w:rPr>
        <w:rFonts w:hint="eastAsia" w:ascii="宋体" w:hAnsi="宋体" w:eastAsia="宋体" w:cs="宋体"/>
        <w:b/>
        <w:bCs/>
        <w:i w:val="0"/>
        <w:caps w:val="0"/>
        <w:color w:val="333333"/>
        <w:spacing w:val="0"/>
        <w:sz w:val="44"/>
        <w:szCs w:val="44"/>
      </w:rPr>
    </w:pPr>
    <w:r>
      <w:rPr>
        <w:rFonts w:hint="eastAsia" w:ascii="宋体" w:hAnsi="宋体" w:eastAsia="宋体" w:cs="宋体"/>
        <w:b/>
        <w:bCs/>
        <w:i w:val="0"/>
        <w:caps w:val="0"/>
        <w:color w:val="333333"/>
        <w:spacing w:val="0"/>
        <w:sz w:val="24"/>
        <w:szCs w:val="24"/>
        <w:shd w:val="clear" w:fill="FFFFFF"/>
      </w:rPr>
      <w:t>（样式）</w:t>
    </w:r>
  </w:p>
  <w:p>
    <w:pPr>
      <w:pStyle w:val="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D763E"/>
    <w:rsid w:val="207E2443"/>
    <w:rsid w:val="23233474"/>
    <w:rsid w:val="332424E8"/>
    <w:rsid w:val="54432A93"/>
    <w:rsid w:val="6E3D7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2022-05-20T12:13:00Z</dcterms:created>
  <dc:creator>jihongyao</dc:creator>
  <cp:lastModifiedBy>jihongyao</cp:lastModifiedBy>
  <dcterms:modified xsi:type="dcterms:W3CDTF">2022-05-20T12:20:24Z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